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DEA1" w14:textId="77777777" w:rsidR="006665C5" w:rsidRPr="006665C5" w:rsidRDefault="006665C5" w:rsidP="006665C5">
      <w:pPr>
        <w:spacing w:after="0" w:line="312" w:lineRule="atLeast"/>
        <w:textAlignment w:val="baseline"/>
        <w:outlineLvl w:val="0"/>
        <w:rPr>
          <w:rFonts w:ascii="Georgia" w:eastAsia="Times New Roman" w:hAnsi="Georgia" w:cs="Times New Roman"/>
          <w:color w:val="000000"/>
          <w:kern w:val="36"/>
          <w:sz w:val="57"/>
          <w:szCs w:val="57"/>
          <w14:ligatures w14:val="none"/>
        </w:rPr>
      </w:pPr>
      <w:r w:rsidRPr="006665C5">
        <w:rPr>
          <w:rFonts w:ascii="Georgia" w:eastAsia="Times New Roman" w:hAnsi="Georgia" w:cs="Times New Roman"/>
          <w:color w:val="000000"/>
          <w:kern w:val="36"/>
          <w:sz w:val="57"/>
          <w:szCs w:val="57"/>
          <w14:ligatures w14:val="none"/>
        </w:rPr>
        <w:t>Top Ten States for Tequila Sales</w:t>
      </w:r>
    </w:p>
    <w:p w14:paraId="557B77A4" w14:textId="77777777" w:rsid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Sep 23, 2025</w:t>
      </w:r>
      <w:r w:rsidRPr="006665C5">
        <w:rPr>
          <w:rFonts w:ascii="Montserrat" w:eastAsia="Times New Roman" w:hAnsi="Montserrat" w:cs="Times New Roman"/>
          <w:color w:val="000000"/>
          <w:kern w:val="0"/>
          <w:sz w:val="21"/>
          <w:szCs w:val="21"/>
          <w14:ligatures w14:val="none"/>
        </w:rPr>
        <w:t> | </w:t>
      </w:r>
      <w:hyperlink r:id="rId5" w:history="1">
        <w:r w:rsidRPr="006665C5">
          <w:rPr>
            <w:rFonts w:ascii="Montserrat" w:eastAsia="Times New Roman" w:hAnsi="Montserrat" w:cs="Times New Roman"/>
            <w:color w:val="E74536"/>
            <w:kern w:val="0"/>
            <w:sz w:val="21"/>
            <w:szCs w:val="21"/>
            <w:bdr w:val="none" w:sz="0" w:space="0" w:color="auto" w:frame="1"/>
            <w14:ligatures w14:val="none"/>
          </w:rPr>
          <w:t>News &amp; Trends</w:t>
        </w:r>
      </w:hyperlink>
      <w:r w:rsidRPr="006665C5">
        <w:rPr>
          <w:rFonts w:ascii="Montserrat" w:eastAsia="Times New Roman" w:hAnsi="Montserrat" w:cs="Times New Roman"/>
          <w:color w:val="000000"/>
          <w:kern w:val="0"/>
          <w:sz w:val="21"/>
          <w:szCs w:val="21"/>
          <w14:ligatures w14:val="none"/>
        </w:rPr>
        <w:t> | </w:t>
      </w:r>
      <w:hyperlink r:id="rId6" w:history="1">
        <w:r w:rsidRPr="006665C5">
          <w:rPr>
            <w:rFonts w:ascii="Montserrat" w:eastAsia="Times New Roman" w:hAnsi="Montserrat" w:cs="Times New Roman"/>
            <w:color w:val="E74536"/>
            <w:kern w:val="0"/>
            <w:sz w:val="21"/>
            <w:szCs w:val="21"/>
            <w:bdr w:val="none" w:sz="0" w:space="0" w:color="auto" w:frame="1"/>
            <w14:ligatures w14:val="none"/>
          </w:rPr>
          <w:t>Blog Post</w:t>
        </w:r>
      </w:hyperlink>
      <w:r w:rsidRPr="006665C5">
        <w:rPr>
          <w:rFonts w:ascii="Montserrat" w:eastAsia="Times New Roman" w:hAnsi="Montserrat" w:cs="Times New Roman"/>
          <w:color w:val="000000"/>
          <w:kern w:val="0"/>
          <w:sz w:val="21"/>
          <w:szCs w:val="21"/>
          <w14:ligatures w14:val="none"/>
        </w:rPr>
        <w:t>, </w:t>
      </w:r>
      <w:hyperlink r:id="rId7" w:history="1">
        <w:r w:rsidRPr="006665C5">
          <w:rPr>
            <w:rFonts w:ascii="Montserrat" w:eastAsia="Times New Roman" w:hAnsi="Montserrat" w:cs="Times New Roman"/>
            <w:color w:val="E74536"/>
            <w:kern w:val="0"/>
            <w:sz w:val="21"/>
            <w:szCs w:val="21"/>
            <w:bdr w:val="none" w:sz="0" w:space="0" w:color="auto" w:frame="1"/>
            <w14:ligatures w14:val="none"/>
          </w:rPr>
          <w:t>Featured Content</w:t>
        </w:r>
      </w:hyperlink>
      <w:r w:rsidRPr="006665C5">
        <w:rPr>
          <w:rFonts w:ascii="Montserrat" w:eastAsia="Times New Roman" w:hAnsi="Montserrat" w:cs="Times New Roman"/>
          <w:color w:val="000000"/>
          <w:kern w:val="0"/>
          <w:sz w:val="21"/>
          <w:szCs w:val="21"/>
          <w14:ligatures w14:val="none"/>
        </w:rPr>
        <w:t>, </w:t>
      </w:r>
      <w:hyperlink r:id="rId8" w:history="1">
        <w:r w:rsidRPr="006665C5">
          <w:rPr>
            <w:rFonts w:ascii="Montserrat" w:eastAsia="Times New Roman" w:hAnsi="Montserrat" w:cs="Times New Roman"/>
            <w:color w:val="E74536"/>
            <w:kern w:val="0"/>
            <w:sz w:val="21"/>
            <w:szCs w:val="21"/>
            <w:bdr w:val="none" w:sz="0" w:space="0" w:color="auto" w:frame="1"/>
            <w14:ligatures w14:val="none"/>
          </w:rPr>
          <w:t>Park Street University</w:t>
        </w:r>
      </w:hyperlink>
      <w:r w:rsidRPr="006665C5">
        <w:rPr>
          <w:rFonts w:ascii="Montserrat" w:eastAsia="Times New Roman" w:hAnsi="Montserrat" w:cs="Times New Roman"/>
          <w:color w:val="000000"/>
          <w:kern w:val="0"/>
          <w:sz w:val="21"/>
          <w:szCs w:val="21"/>
          <w14:ligatures w14:val="none"/>
        </w:rPr>
        <w:t>, </w:t>
      </w:r>
      <w:hyperlink r:id="rId9" w:history="1">
        <w:r w:rsidRPr="006665C5">
          <w:rPr>
            <w:rFonts w:ascii="Montserrat" w:eastAsia="Times New Roman" w:hAnsi="Montserrat" w:cs="Times New Roman"/>
            <w:color w:val="E74536"/>
            <w:kern w:val="0"/>
            <w:sz w:val="21"/>
            <w:szCs w:val="21"/>
            <w:bdr w:val="none" w:sz="0" w:space="0" w:color="auto" w:frame="1"/>
            <w14:ligatures w14:val="none"/>
          </w:rPr>
          <w:t>Popular Articles</w:t>
        </w:r>
      </w:hyperlink>
      <w:r w:rsidRPr="006665C5">
        <w:rPr>
          <w:rFonts w:ascii="Montserrat" w:eastAsia="Times New Roman" w:hAnsi="Montserrat" w:cs="Times New Roman"/>
          <w:color w:val="000000"/>
          <w:kern w:val="0"/>
          <w:sz w:val="21"/>
          <w:szCs w:val="21"/>
          <w14:ligatures w14:val="none"/>
        </w:rPr>
        <w:t> |</w:t>
      </w:r>
    </w:p>
    <w:p w14:paraId="22677468"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p>
    <w:p w14:paraId="7CA9AE68" w14:textId="77777777" w:rsidR="006665C5" w:rsidRDefault="006665C5" w:rsidP="006665C5">
      <w:pPr>
        <w:spacing w:after="0" w:line="240" w:lineRule="auto"/>
        <w:textAlignment w:val="baseline"/>
        <w:rPr>
          <w:rFonts w:ascii="Montserrat" w:eastAsia="Times New Roman" w:hAnsi="Montserrat" w:cs="Times New Roman"/>
          <w:i/>
          <w:iCs/>
          <w:color w:val="000000"/>
          <w:kern w:val="0"/>
          <w:sz w:val="21"/>
          <w:szCs w:val="21"/>
          <w:bdr w:val="none" w:sz="0" w:space="0" w:color="auto" w:frame="1"/>
          <w14:ligatures w14:val="none"/>
        </w:rPr>
      </w:pPr>
      <w:r w:rsidRPr="006665C5">
        <w:rPr>
          <w:rFonts w:ascii="Montserrat" w:eastAsia="Times New Roman" w:hAnsi="Montserrat" w:cs="Times New Roman"/>
          <w:i/>
          <w:iCs/>
          <w:color w:val="000000"/>
          <w:kern w:val="0"/>
          <w:sz w:val="21"/>
          <w:szCs w:val="21"/>
          <w:bdr w:val="none" w:sz="0" w:space="0" w:color="auto" w:frame="1"/>
          <w14:ligatures w14:val="none"/>
        </w:rPr>
        <w:t>*This article was originally published in November 2021 and last updated in September 2025</w:t>
      </w:r>
    </w:p>
    <w:p w14:paraId="3C699FD4"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p>
    <w:p w14:paraId="1494D833" w14:textId="77777777" w:rsidR="006665C5" w:rsidRDefault="006665C5" w:rsidP="006665C5">
      <w:pPr>
        <w:spacing w:after="0" w:line="240" w:lineRule="auto"/>
        <w:textAlignment w:val="baseline"/>
        <w:rPr>
          <w:rFonts w:ascii="Montserrat" w:eastAsia="Times New Roman" w:hAnsi="Montserrat" w:cs="Times New Roman"/>
          <w:color w:val="000000"/>
          <w:kern w:val="0"/>
          <w:sz w:val="21"/>
          <w:szCs w:val="21"/>
          <w:bdr w:val="none" w:sz="0" w:space="0" w:color="auto" w:frame="1"/>
          <w14:ligatures w14:val="none"/>
        </w:rPr>
      </w:pPr>
      <w:r w:rsidRPr="006665C5">
        <w:rPr>
          <w:rFonts w:ascii="Montserrat" w:eastAsia="Times New Roman" w:hAnsi="Montserrat" w:cs="Times New Roman"/>
          <w:color w:val="000000"/>
          <w:kern w:val="0"/>
          <w:sz w:val="21"/>
          <w:szCs w:val="21"/>
          <w:bdr w:val="none" w:sz="0" w:space="0" w:color="auto" w:frame="1"/>
          <w14:ligatures w14:val="none"/>
        </w:rPr>
        <w:t>Tequila continues its remarkable growth trajectory as agave-based spirits cement their position as one of America’s fastest-growing spirits categories. The latest data from Beverage Information Group reveals that the U.S. consumed an impressive 31.3 million nine-liter cases of tequila in 2024, representing substantial growth in this dynamic category.</w:t>
      </w:r>
    </w:p>
    <w:p w14:paraId="038FD737" w14:textId="77777777" w:rsidR="00A44331" w:rsidRPr="006665C5" w:rsidRDefault="00A44331" w:rsidP="006665C5">
      <w:pPr>
        <w:spacing w:after="0" w:line="240" w:lineRule="auto"/>
        <w:textAlignment w:val="baseline"/>
        <w:rPr>
          <w:rFonts w:ascii="Montserrat" w:eastAsia="Times New Roman" w:hAnsi="Montserrat" w:cs="Times New Roman"/>
          <w:color w:val="000000"/>
          <w:kern w:val="0"/>
          <w:sz w:val="21"/>
          <w:szCs w:val="21"/>
          <w14:ligatures w14:val="none"/>
        </w:rPr>
      </w:pPr>
    </w:p>
    <w:p w14:paraId="2D36DF4A"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The consumption data shows familiar leaders dominating total volume, with California and Texas maintaining their commanding positions. However, the per capita rankings reveal intriguing regional preferences, with western states demonstrating particularly strong individual consumption patterns that reflect cultural affinity for agave spirits.</w:t>
      </w:r>
    </w:p>
    <w:p w14:paraId="2D20EDA7" w14:textId="77777777" w:rsidR="006665C5" w:rsidRPr="006665C5" w:rsidRDefault="006665C5" w:rsidP="006665C5">
      <w:pPr>
        <w:numPr>
          <w:ilvl w:val="0"/>
          <w:numId w:val="1"/>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b/>
          <w:bCs/>
          <w:color w:val="000000"/>
          <w:kern w:val="0"/>
          <w:sz w:val="21"/>
          <w:szCs w:val="21"/>
          <w:bdr w:val="none" w:sz="0" w:space="0" w:color="auto" w:frame="1"/>
          <w14:ligatures w14:val="none"/>
        </w:rPr>
        <w:t xml:space="preserve">California: 6.6 </w:t>
      </w:r>
      <w:proofErr w:type="gramStart"/>
      <w:r w:rsidRPr="006665C5">
        <w:rPr>
          <w:rFonts w:ascii="Montserrat" w:eastAsia="Times New Roman" w:hAnsi="Montserrat" w:cs="Times New Roman"/>
          <w:b/>
          <w:bCs/>
          <w:color w:val="000000"/>
          <w:kern w:val="0"/>
          <w:sz w:val="21"/>
          <w:szCs w:val="21"/>
          <w:bdr w:val="none" w:sz="0" w:space="0" w:color="auto" w:frame="1"/>
          <w14:ligatures w14:val="none"/>
        </w:rPr>
        <w:t>Million</w:t>
      </w:r>
      <w:proofErr w:type="gramEnd"/>
      <w:r w:rsidRPr="006665C5">
        <w:rPr>
          <w:rFonts w:ascii="Montserrat" w:eastAsia="Times New Roman" w:hAnsi="Montserrat" w:cs="Times New Roman"/>
          <w:b/>
          <w:bCs/>
          <w:color w:val="000000"/>
          <w:kern w:val="0"/>
          <w:sz w:val="21"/>
          <w:szCs w:val="21"/>
          <w:bdr w:val="none" w:sz="0" w:space="0" w:color="auto" w:frame="1"/>
          <w14:ligatures w14:val="none"/>
        </w:rPr>
        <w:t xml:space="preserve"> Cases</w:t>
      </w:r>
    </w:p>
    <w:p w14:paraId="6349FC5A"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The Golden State continues its reign as America’s tequila consumption champion, consuming over 6.6 million cases in 2024. California not only leads in total volume but also ranks second nationally in per capita consumption with 225 cases per 1,000 residents. This dual dominance reflects both the state’s massive population and its deep cultural connection to Mexican cuisine and agave spirits.</w:t>
      </w:r>
    </w:p>
    <w:p w14:paraId="2862FCFC" w14:textId="77777777" w:rsidR="006665C5" w:rsidRPr="006665C5" w:rsidRDefault="006665C5" w:rsidP="006665C5">
      <w:pPr>
        <w:numPr>
          <w:ilvl w:val="0"/>
          <w:numId w:val="2"/>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b/>
          <w:bCs/>
          <w:color w:val="000000"/>
          <w:kern w:val="0"/>
          <w:sz w:val="21"/>
          <w:szCs w:val="21"/>
          <w:bdr w:val="none" w:sz="0" w:space="0" w:color="auto" w:frame="1"/>
          <w14:ligatures w14:val="none"/>
        </w:rPr>
        <w:t xml:space="preserve">Texas: 3.8 </w:t>
      </w:r>
      <w:proofErr w:type="gramStart"/>
      <w:r w:rsidRPr="006665C5">
        <w:rPr>
          <w:rFonts w:ascii="Montserrat" w:eastAsia="Times New Roman" w:hAnsi="Montserrat" w:cs="Times New Roman"/>
          <w:b/>
          <w:bCs/>
          <w:color w:val="000000"/>
          <w:kern w:val="0"/>
          <w:sz w:val="21"/>
          <w:szCs w:val="21"/>
          <w:bdr w:val="none" w:sz="0" w:space="0" w:color="auto" w:frame="1"/>
          <w14:ligatures w14:val="none"/>
        </w:rPr>
        <w:t>Million</w:t>
      </w:r>
      <w:proofErr w:type="gramEnd"/>
      <w:r w:rsidRPr="006665C5">
        <w:rPr>
          <w:rFonts w:ascii="Montserrat" w:eastAsia="Times New Roman" w:hAnsi="Montserrat" w:cs="Times New Roman"/>
          <w:b/>
          <w:bCs/>
          <w:color w:val="000000"/>
          <w:kern w:val="0"/>
          <w:sz w:val="21"/>
          <w:szCs w:val="21"/>
          <w:bdr w:val="none" w:sz="0" w:space="0" w:color="auto" w:frame="1"/>
          <w14:ligatures w14:val="none"/>
        </w:rPr>
        <w:t xml:space="preserve"> Cases</w:t>
      </w:r>
    </w:p>
    <w:p w14:paraId="789025C9"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The Lone Star State maintains its strong second-place position with nearly 3.8 million cases consumed in 2024. Texas also demonstrates solid per capita consumption, ranking fifth nationally with 172 cases per 1,000 residents, indicating genuine regional preference beyond just population size.</w:t>
      </w:r>
    </w:p>
    <w:p w14:paraId="4D0692D8" w14:textId="77777777" w:rsidR="006665C5" w:rsidRPr="006665C5" w:rsidRDefault="006665C5" w:rsidP="006665C5">
      <w:pPr>
        <w:numPr>
          <w:ilvl w:val="0"/>
          <w:numId w:val="3"/>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b/>
          <w:bCs/>
          <w:color w:val="000000"/>
          <w:kern w:val="0"/>
          <w:sz w:val="21"/>
          <w:szCs w:val="21"/>
          <w:bdr w:val="none" w:sz="0" w:space="0" w:color="auto" w:frame="1"/>
          <w14:ligatures w14:val="none"/>
        </w:rPr>
        <w:t xml:space="preserve">Florida: 1.8 </w:t>
      </w:r>
      <w:proofErr w:type="gramStart"/>
      <w:r w:rsidRPr="006665C5">
        <w:rPr>
          <w:rFonts w:ascii="Montserrat" w:eastAsia="Times New Roman" w:hAnsi="Montserrat" w:cs="Times New Roman"/>
          <w:b/>
          <w:bCs/>
          <w:color w:val="000000"/>
          <w:kern w:val="0"/>
          <w:sz w:val="21"/>
          <w:szCs w:val="21"/>
          <w:bdr w:val="none" w:sz="0" w:space="0" w:color="auto" w:frame="1"/>
          <w14:ligatures w14:val="none"/>
        </w:rPr>
        <w:t>Million</w:t>
      </w:r>
      <w:proofErr w:type="gramEnd"/>
      <w:r w:rsidRPr="006665C5">
        <w:rPr>
          <w:rFonts w:ascii="Montserrat" w:eastAsia="Times New Roman" w:hAnsi="Montserrat" w:cs="Times New Roman"/>
          <w:b/>
          <w:bCs/>
          <w:color w:val="000000"/>
          <w:kern w:val="0"/>
          <w:sz w:val="21"/>
          <w:szCs w:val="21"/>
          <w:bdr w:val="none" w:sz="0" w:space="0" w:color="auto" w:frame="1"/>
          <w14:ligatures w14:val="none"/>
        </w:rPr>
        <w:t xml:space="preserve"> Cases</w:t>
      </w:r>
    </w:p>
    <w:p w14:paraId="103C4801"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The Sunshine State claimed the bronze medal with 1.8 million cases in 2024. Florida’s warm climate and vibrant nightlife scene contribute to steady tequila consumption, though the state doesn’t crack the top ten in per capita rankings.</w:t>
      </w:r>
    </w:p>
    <w:p w14:paraId="73A3188A" w14:textId="77777777" w:rsidR="006665C5" w:rsidRPr="006665C5" w:rsidRDefault="006665C5" w:rsidP="006665C5">
      <w:pPr>
        <w:numPr>
          <w:ilvl w:val="0"/>
          <w:numId w:val="4"/>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b/>
          <w:bCs/>
          <w:color w:val="000000"/>
          <w:kern w:val="0"/>
          <w:sz w:val="21"/>
          <w:szCs w:val="21"/>
          <w:bdr w:val="none" w:sz="0" w:space="0" w:color="auto" w:frame="1"/>
          <w14:ligatures w14:val="none"/>
        </w:rPr>
        <w:t xml:space="preserve">North Carolina: 1.2 </w:t>
      </w:r>
      <w:proofErr w:type="gramStart"/>
      <w:r w:rsidRPr="006665C5">
        <w:rPr>
          <w:rFonts w:ascii="Montserrat" w:eastAsia="Times New Roman" w:hAnsi="Montserrat" w:cs="Times New Roman"/>
          <w:b/>
          <w:bCs/>
          <w:color w:val="000000"/>
          <w:kern w:val="0"/>
          <w:sz w:val="21"/>
          <w:szCs w:val="21"/>
          <w:bdr w:val="none" w:sz="0" w:space="0" w:color="auto" w:frame="1"/>
          <w14:ligatures w14:val="none"/>
        </w:rPr>
        <w:t>Million</w:t>
      </w:r>
      <w:proofErr w:type="gramEnd"/>
      <w:r w:rsidRPr="006665C5">
        <w:rPr>
          <w:rFonts w:ascii="Montserrat" w:eastAsia="Times New Roman" w:hAnsi="Montserrat" w:cs="Times New Roman"/>
          <w:b/>
          <w:bCs/>
          <w:color w:val="000000"/>
          <w:kern w:val="0"/>
          <w:sz w:val="21"/>
          <w:szCs w:val="21"/>
          <w:bdr w:val="none" w:sz="0" w:space="0" w:color="auto" w:frame="1"/>
          <w14:ligatures w14:val="none"/>
        </w:rPr>
        <w:t xml:space="preserve"> Cases</w:t>
      </w:r>
    </w:p>
    <w:p w14:paraId="52F15F97"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The Tar Heel State came in fourth place with over 1.2 million cases, showing impressive growth in the Southeast region. North Carolina also ranks ninth in per capita consumption with 142 cases per 1,000 residents.</w:t>
      </w:r>
    </w:p>
    <w:p w14:paraId="10ED0EA2" w14:textId="77777777" w:rsidR="006665C5" w:rsidRPr="006665C5" w:rsidRDefault="006665C5" w:rsidP="006665C5">
      <w:pPr>
        <w:numPr>
          <w:ilvl w:val="0"/>
          <w:numId w:val="5"/>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b/>
          <w:bCs/>
          <w:color w:val="000000"/>
          <w:kern w:val="0"/>
          <w:sz w:val="21"/>
          <w:szCs w:val="21"/>
          <w:bdr w:val="none" w:sz="0" w:space="0" w:color="auto" w:frame="1"/>
          <w14:ligatures w14:val="none"/>
        </w:rPr>
        <w:t xml:space="preserve">Illinois: 1.2 </w:t>
      </w:r>
      <w:proofErr w:type="gramStart"/>
      <w:r w:rsidRPr="006665C5">
        <w:rPr>
          <w:rFonts w:ascii="Montserrat" w:eastAsia="Times New Roman" w:hAnsi="Montserrat" w:cs="Times New Roman"/>
          <w:b/>
          <w:bCs/>
          <w:color w:val="000000"/>
          <w:kern w:val="0"/>
          <w:sz w:val="21"/>
          <w:szCs w:val="21"/>
          <w:bdr w:val="none" w:sz="0" w:space="0" w:color="auto" w:frame="1"/>
          <w14:ligatures w14:val="none"/>
        </w:rPr>
        <w:t>Million</w:t>
      </w:r>
      <w:proofErr w:type="gramEnd"/>
      <w:r w:rsidRPr="006665C5">
        <w:rPr>
          <w:rFonts w:ascii="Montserrat" w:eastAsia="Times New Roman" w:hAnsi="Montserrat" w:cs="Times New Roman"/>
          <w:b/>
          <w:bCs/>
          <w:color w:val="000000"/>
          <w:kern w:val="0"/>
          <w:sz w:val="21"/>
          <w:szCs w:val="21"/>
          <w:bdr w:val="none" w:sz="0" w:space="0" w:color="auto" w:frame="1"/>
          <w14:ligatures w14:val="none"/>
        </w:rPr>
        <w:t xml:space="preserve"> Cases</w:t>
      </w:r>
    </w:p>
    <w:p w14:paraId="71570A1B"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Illinois rounds out the top five with nearly 1.2 million cases consumed in 2024, likely concentrated heavily in the Chicago metropolitan area and surrounding regions.</w:t>
      </w:r>
    </w:p>
    <w:p w14:paraId="332BA2EC" w14:textId="77777777" w:rsidR="006665C5" w:rsidRPr="006665C5" w:rsidRDefault="006665C5" w:rsidP="006665C5">
      <w:pPr>
        <w:numPr>
          <w:ilvl w:val="0"/>
          <w:numId w:val="6"/>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b/>
          <w:bCs/>
          <w:color w:val="000000"/>
          <w:kern w:val="0"/>
          <w:sz w:val="21"/>
          <w:szCs w:val="21"/>
          <w:bdr w:val="none" w:sz="0" w:space="0" w:color="auto" w:frame="1"/>
          <w14:ligatures w14:val="none"/>
        </w:rPr>
        <w:t xml:space="preserve">Arizona: 1.1 </w:t>
      </w:r>
      <w:proofErr w:type="gramStart"/>
      <w:r w:rsidRPr="006665C5">
        <w:rPr>
          <w:rFonts w:ascii="Montserrat" w:eastAsia="Times New Roman" w:hAnsi="Montserrat" w:cs="Times New Roman"/>
          <w:b/>
          <w:bCs/>
          <w:color w:val="000000"/>
          <w:kern w:val="0"/>
          <w:sz w:val="21"/>
          <w:szCs w:val="21"/>
          <w:bdr w:val="none" w:sz="0" w:space="0" w:color="auto" w:frame="1"/>
          <w14:ligatures w14:val="none"/>
        </w:rPr>
        <w:t>Million</w:t>
      </w:r>
      <w:proofErr w:type="gramEnd"/>
      <w:r w:rsidRPr="006665C5">
        <w:rPr>
          <w:rFonts w:ascii="Montserrat" w:eastAsia="Times New Roman" w:hAnsi="Montserrat" w:cs="Times New Roman"/>
          <w:b/>
          <w:bCs/>
          <w:color w:val="000000"/>
          <w:kern w:val="0"/>
          <w:sz w:val="21"/>
          <w:szCs w:val="21"/>
          <w:bdr w:val="none" w:sz="0" w:space="0" w:color="auto" w:frame="1"/>
          <w14:ligatures w14:val="none"/>
        </w:rPr>
        <w:t xml:space="preserve"> Cases</w:t>
      </w:r>
    </w:p>
    <w:p w14:paraId="2C160DFA" w14:textId="77777777" w:rsidR="006665C5" w:rsidRDefault="006665C5" w:rsidP="006665C5">
      <w:pPr>
        <w:spacing w:after="0" w:line="240" w:lineRule="auto"/>
        <w:textAlignment w:val="baseline"/>
        <w:rPr>
          <w:rFonts w:ascii="Montserrat" w:eastAsia="Times New Roman" w:hAnsi="Montserrat" w:cs="Times New Roman"/>
          <w:color w:val="000000"/>
          <w:kern w:val="0"/>
          <w:sz w:val="21"/>
          <w:szCs w:val="21"/>
          <w:bdr w:val="none" w:sz="0" w:space="0" w:color="auto" w:frame="1"/>
          <w14:ligatures w14:val="none"/>
        </w:rPr>
      </w:pPr>
      <w:r w:rsidRPr="006665C5">
        <w:rPr>
          <w:rFonts w:ascii="Montserrat" w:eastAsia="Times New Roman" w:hAnsi="Montserrat" w:cs="Times New Roman"/>
          <w:color w:val="000000"/>
          <w:kern w:val="0"/>
          <w:sz w:val="21"/>
          <w:szCs w:val="21"/>
          <w:bdr w:val="none" w:sz="0" w:space="0" w:color="auto" w:frame="1"/>
          <w14:ligatures w14:val="none"/>
        </w:rPr>
        <w:t>The Grand Canyon State demonstrates strong tequila preference with over 1.1 million cases consumed and impressive per capita consumption, ranking fourth nationally with 199 cases per 1,000 residents. Arizona’s southwestern location and cultural ties contribute to this strong showing.</w:t>
      </w:r>
    </w:p>
    <w:p w14:paraId="1B9ACC2D" w14:textId="77777777" w:rsidR="00A44331" w:rsidRDefault="00A44331" w:rsidP="006665C5">
      <w:pPr>
        <w:spacing w:after="0" w:line="240" w:lineRule="auto"/>
        <w:textAlignment w:val="baseline"/>
        <w:rPr>
          <w:rFonts w:ascii="Montserrat" w:eastAsia="Times New Roman" w:hAnsi="Montserrat" w:cs="Times New Roman"/>
          <w:color w:val="000000"/>
          <w:kern w:val="0"/>
          <w:sz w:val="21"/>
          <w:szCs w:val="21"/>
          <w:bdr w:val="none" w:sz="0" w:space="0" w:color="auto" w:frame="1"/>
          <w14:ligatures w14:val="none"/>
        </w:rPr>
      </w:pPr>
    </w:p>
    <w:p w14:paraId="7ED7D5EC" w14:textId="77777777" w:rsidR="00A44331" w:rsidRPr="006665C5" w:rsidRDefault="00A44331" w:rsidP="006665C5">
      <w:pPr>
        <w:spacing w:after="0" w:line="240" w:lineRule="auto"/>
        <w:textAlignment w:val="baseline"/>
        <w:rPr>
          <w:rFonts w:ascii="Montserrat" w:eastAsia="Times New Roman" w:hAnsi="Montserrat" w:cs="Times New Roman"/>
          <w:color w:val="000000"/>
          <w:kern w:val="0"/>
          <w:sz w:val="21"/>
          <w:szCs w:val="21"/>
          <w14:ligatures w14:val="none"/>
        </w:rPr>
      </w:pPr>
    </w:p>
    <w:p w14:paraId="65230C48" w14:textId="77777777" w:rsidR="006665C5" w:rsidRPr="006665C5" w:rsidRDefault="006665C5" w:rsidP="006665C5">
      <w:pPr>
        <w:numPr>
          <w:ilvl w:val="0"/>
          <w:numId w:val="7"/>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b/>
          <w:bCs/>
          <w:color w:val="000000"/>
          <w:kern w:val="0"/>
          <w:sz w:val="21"/>
          <w:szCs w:val="21"/>
          <w:bdr w:val="none" w:sz="0" w:space="0" w:color="auto" w:frame="1"/>
          <w14:ligatures w14:val="none"/>
        </w:rPr>
        <w:t xml:space="preserve">Ohio: 1.1 </w:t>
      </w:r>
      <w:proofErr w:type="gramStart"/>
      <w:r w:rsidRPr="006665C5">
        <w:rPr>
          <w:rFonts w:ascii="Montserrat" w:eastAsia="Times New Roman" w:hAnsi="Montserrat" w:cs="Times New Roman"/>
          <w:b/>
          <w:bCs/>
          <w:color w:val="000000"/>
          <w:kern w:val="0"/>
          <w:sz w:val="21"/>
          <w:szCs w:val="21"/>
          <w:bdr w:val="none" w:sz="0" w:space="0" w:color="auto" w:frame="1"/>
          <w14:ligatures w14:val="none"/>
        </w:rPr>
        <w:t>Million</w:t>
      </w:r>
      <w:proofErr w:type="gramEnd"/>
      <w:r w:rsidRPr="006665C5">
        <w:rPr>
          <w:rFonts w:ascii="Montserrat" w:eastAsia="Times New Roman" w:hAnsi="Montserrat" w:cs="Times New Roman"/>
          <w:b/>
          <w:bCs/>
          <w:color w:val="000000"/>
          <w:kern w:val="0"/>
          <w:sz w:val="21"/>
          <w:szCs w:val="21"/>
          <w:bdr w:val="none" w:sz="0" w:space="0" w:color="auto" w:frame="1"/>
          <w14:ligatures w14:val="none"/>
        </w:rPr>
        <w:t xml:space="preserve"> Cases</w:t>
      </w:r>
    </w:p>
    <w:p w14:paraId="0C9B058B"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Ohio consumed just over 1.1 million cases in 2024, maintaining its position as a significant control state market for tequila consumption.</w:t>
      </w:r>
    </w:p>
    <w:p w14:paraId="323061BD" w14:textId="77777777" w:rsidR="006665C5" w:rsidRPr="006665C5" w:rsidRDefault="006665C5" w:rsidP="006665C5">
      <w:pPr>
        <w:numPr>
          <w:ilvl w:val="0"/>
          <w:numId w:val="8"/>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b/>
          <w:bCs/>
          <w:color w:val="000000"/>
          <w:kern w:val="0"/>
          <w:sz w:val="21"/>
          <w:szCs w:val="21"/>
          <w:bdr w:val="none" w:sz="0" w:space="0" w:color="auto" w:frame="1"/>
          <w14:ligatures w14:val="none"/>
        </w:rPr>
        <w:t xml:space="preserve">Michigan: 1.1 </w:t>
      </w:r>
      <w:proofErr w:type="gramStart"/>
      <w:r w:rsidRPr="006665C5">
        <w:rPr>
          <w:rFonts w:ascii="Montserrat" w:eastAsia="Times New Roman" w:hAnsi="Montserrat" w:cs="Times New Roman"/>
          <w:b/>
          <w:bCs/>
          <w:color w:val="000000"/>
          <w:kern w:val="0"/>
          <w:sz w:val="21"/>
          <w:szCs w:val="21"/>
          <w:bdr w:val="none" w:sz="0" w:space="0" w:color="auto" w:frame="1"/>
          <w14:ligatures w14:val="none"/>
        </w:rPr>
        <w:t>Million</w:t>
      </w:r>
      <w:proofErr w:type="gramEnd"/>
      <w:r w:rsidRPr="006665C5">
        <w:rPr>
          <w:rFonts w:ascii="Montserrat" w:eastAsia="Times New Roman" w:hAnsi="Montserrat" w:cs="Times New Roman"/>
          <w:b/>
          <w:bCs/>
          <w:color w:val="000000"/>
          <w:kern w:val="0"/>
          <w:sz w:val="21"/>
          <w:szCs w:val="21"/>
          <w:bdr w:val="none" w:sz="0" w:space="0" w:color="auto" w:frame="1"/>
          <w14:ligatures w14:val="none"/>
        </w:rPr>
        <w:t xml:space="preserve"> Cases</w:t>
      </w:r>
    </w:p>
    <w:p w14:paraId="05226B00"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Michigan’s consumption of over 1 million cases places it in the top ten, with the state also ranking tenth in per capita consumption at 140 cases per 1,000 residents.</w:t>
      </w:r>
    </w:p>
    <w:p w14:paraId="146FA297" w14:textId="77777777" w:rsidR="006665C5" w:rsidRPr="006665C5" w:rsidRDefault="006665C5" w:rsidP="006665C5">
      <w:pPr>
        <w:numPr>
          <w:ilvl w:val="0"/>
          <w:numId w:val="9"/>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b/>
          <w:bCs/>
          <w:color w:val="000000"/>
          <w:kern w:val="0"/>
          <w:sz w:val="21"/>
          <w:szCs w:val="21"/>
          <w:bdr w:val="none" w:sz="0" w:space="0" w:color="auto" w:frame="1"/>
          <w14:ligatures w14:val="none"/>
        </w:rPr>
        <w:t xml:space="preserve">New York: 1.1 </w:t>
      </w:r>
      <w:proofErr w:type="gramStart"/>
      <w:r w:rsidRPr="006665C5">
        <w:rPr>
          <w:rFonts w:ascii="Montserrat" w:eastAsia="Times New Roman" w:hAnsi="Montserrat" w:cs="Times New Roman"/>
          <w:b/>
          <w:bCs/>
          <w:color w:val="000000"/>
          <w:kern w:val="0"/>
          <w:sz w:val="21"/>
          <w:szCs w:val="21"/>
          <w:bdr w:val="none" w:sz="0" w:space="0" w:color="auto" w:frame="1"/>
          <w14:ligatures w14:val="none"/>
        </w:rPr>
        <w:t>Million</w:t>
      </w:r>
      <w:proofErr w:type="gramEnd"/>
      <w:r w:rsidRPr="006665C5">
        <w:rPr>
          <w:rFonts w:ascii="Montserrat" w:eastAsia="Times New Roman" w:hAnsi="Montserrat" w:cs="Times New Roman"/>
          <w:b/>
          <w:bCs/>
          <w:color w:val="000000"/>
          <w:kern w:val="0"/>
          <w:sz w:val="21"/>
          <w:szCs w:val="21"/>
          <w:bdr w:val="none" w:sz="0" w:space="0" w:color="auto" w:frame="1"/>
          <w14:ligatures w14:val="none"/>
        </w:rPr>
        <w:t xml:space="preserve"> Cases</w:t>
      </w:r>
    </w:p>
    <w:p w14:paraId="19BD2831"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The Empire State consumed just over 1 million cases in 2024. Despite its large population and significant total volume, New York notably doesn’t appear in the top ten for per capita consumption, suggesting that population density rather than individual preference drives these figures.</w:t>
      </w:r>
    </w:p>
    <w:p w14:paraId="08BB8F29" w14:textId="77777777" w:rsidR="006665C5" w:rsidRPr="006665C5" w:rsidRDefault="006665C5" w:rsidP="006665C5">
      <w:pPr>
        <w:numPr>
          <w:ilvl w:val="0"/>
          <w:numId w:val="10"/>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b/>
          <w:bCs/>
          <w:color w:val="000000"/>
          <w:kern w:val="0"/>
          <w:sz w:val="21"/>
          <w:szCs w:val="21"/>
          <w:bdr w:val="none" w:sz="0" w:space="0" w:color="auto" w:frame="1"/>
          <w14:ligatures w14:val="none"/>
        </w:rPr>
        <w:t>Colorado: 917k Cases</w:t>
      </w:r>
    </w:p>
    <w:p w14:paraId="1E6FC395" w14:textId="77777777" w:rsidR="006665C5" w:rsidRDefault="006665C5" w:rsidP="006665C5">
      <w:pPr>
        <w:spacing w:after="0" w:line="240" w:lineRule="auto"/>
        <w:textAlignment w:val="baseline"/>
        <w:rPr>
          <w:rFonts w:ascii="Montserrat" w:eastAsia="Times New Roman" w:hAnsi="Montserrat" w:cs="Times New Roman"/>
          <w:color w:val="000000"/>
          <w:kern w:val="0"/>
          <w:sz w:val="21"/>
          <w:szCs w:val="21"/>
          <w:bdr w:val="none" w:sz="0" w:space="0" w:color="auto" w:frame="1"/>
          <w14:ligatures w14:val="none"/>
        </w:rPr>
      </w:pPr>
      <w:r w:rsidRPr="006665C5">
        <w:rPr>
          <w:rFonts w:ascii="Montserrat" w:eastAsia="Times New Roman" w:hAnsi="Montserrat" w:cs="Times New Roman"/>
          <w:color w:val="000000"/>
          <w:kern w:val="0"/>
          <w:sz w:val="21"/>
          <w:szCs w:val="21"/>
          <w:bdr w:val="none" w:sz="0" w:space="0" w:color="auto" w:frame="1"/>
          <w14:ligatures w14:val="none"/>
        </w:rPr>
        <w:t>Colorado rounds out the top ten with over 917,000 cases and earns distinction as the third-highest per capita consumer nationally with 205 cases per 1,000 residents, reflecting a strong regional preference for agave spirits in the Mountain West.</w:t>
      </w:r>
    </w:p>
    <w:p w14:paraId="53C5F8C8" w14:textId="77777777" w:rsidR="00A44331" w:rsidRPr="006665C5" w:rsidRDefault="00A44331" w:rsidP="006665C5">
      <w:pPr>
        <w:spacing w:after="0" w:line="240" w:lineRule="auto"/>
        <w:textAlignment w:val="baseline"/>
        <w:rPr>
          <w:rFonts w:ascii="Montserrat" w:eastAsia="Times New Roman" w:hAnsi="Montserrat" w:cs="Times New Roman"/>
          <w:color w:val="000000"/>
          <w:kern w:val="0"/>
          <w:sz w:val="21"/>
          <w:szCs w:val="21"/>
          <w14:ligatures w14:val="none"/>
        </w:rPr>
      </w:pPr>
    </w:p>
    <w:p w14:paraId="40AEDAA2" w14:textId="77777777" w:rsidR="006665C5" w:rsidRPr="006665C5" w:rsidRDefault="006665C5" w:rsidP="006665C5">
      <w:pPr>
        <w:spacing w:after="0" w:line="312" w:lineRule="atLeast"/>
        <w:textAlignment w:val="baseline"/>
        <w:outlineLvl w:val="2"/>
        <w:rPr>
          <w:rFonts w:ascii="Georgia" w:eastAsia="Times New Roman" w:hAnsi="Georgia" w:cs="Times New Roman"/>
          <w:color w:val="000000"/>
          <w:kern w:val="0"/>
          <w:sz w:val="33"/>
          <w:szCs w:val="33"/>
          <w14:ligatures w14:val="none"/>
        </w:rPr>
      </w:pPr>
      <w:r w:rsidRPr="006665C5">
        <w:rPr>
          <w:rFonts w:ascii="Georgia" w:eastAsia="Times New Roman" w:hAnsi="Georgia" w:cs="Times New Roman"/>
          <w:color w:val="000000"/>
          <w:kern w:val="0"/>
          <w:sz w:val="33"/>
          <w:szCs w:val="33"/>
          <w:bdr w:val="none" w:sz="0" w:space="0" w:color="auto" w:frame="1"/>
          <w14:ligatures w14:val="none"/>
        </w:rPr>
        <w:t>Per Capita Champions</w:t>
      </w:r>
    </w:p>
    <w:p w14:paraId="0F0658D7"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While large states dominate total volume, the per capita rankings reveal distinct regional consumption patterns that tell a different story about tequila preference across America:</w:t>
      </w:r>
    </w:p>
    <w:p w14:paraId="018AD75F" w14:textId="77777777" w:rsidR="006665C5" w:rsidRPr="006665C5" w:rsidRDefault="006665C5" w:rsidP="006665C5">
      <w:pPr>
        <w:numPr>
          <w:ilvl w:val="0"/>
          <w:numId w:val="11"/>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14:ligatures w14:val="none"/>
        </w:rPr>
        <w:t>Nevada: 286 cases per 1,000 residents</w:t>
      </w:r>
    </w:p>
    <w:p w14:paraId="467511E1" w14:textId="77777777" w:rsidR="006665C5" w:rsidRPr="006665C5" w:rsidRDefault="006665C5" w:rsidP="006665C5">
      <w:pPr>
        <w:numPr>
          <w:ilvl w:val="0"/>
          <w:numId w:val="11"/>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14:ligatures w14:val="none"/>
        </w:rPr>
        <w:t>California: 225 cases per 1,000 residents</w:t>
      </w:r>
    </w:p>
    <w:p w14:paraId="143BD1B0" w14:textId="77777777" w:rsidR="006665C5" w:rsidRPr="006665C5" w:rsidRDefault="006665C5" w:rsidP="006665C5">
      <w:pPr>
        <w:numPr>
          <w:ilvl w:val="0"/>
          <w:numId w:val="11"/>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14:ligatures w14:val="none"/>
        </w:rPr>
        <w:t>Colorado: 205 cases per 1,000 residents</w:t>
      </w:r>
    </w:p>
    <w:p w14:paraId="55E80FEC" w14:textId="77777777" w:rsidR="006665C5" w:rsidRPr="006665C5" w:rsidRDefault="006665C5" w:rsidP="006665C5">
      <w:pPr>
        <w:numPr>
          <w:ilvl w:val="0"/>
          <w:numId w:val="11"/>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14:ligatures w14:val="none"/>
        </w:rPr>
        <w:t>Arizona: 199 cases per 1,000 residents</w:t>
      </w:r>
    </w:p>
    <w:p w14:paraId="42B7B969" w14:textId="77777777" w:rsidR="006665C5" w:rsidRPr="006665C5" w:rsidRDefault="006665C5" w:rsidP="006665C5">
      <w:pPr>
        <w:numPr>
          <w:ilvl w:val="0"/>
          <w:numId w:val="11"/>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14:ligatures w14:val="none"/>
        </w:rPr>
        <w:t>Texas: 172 cases per 1,000 residents</w:t>
      </w:r>
    </w:p>
    <w:p w14:paraId="1D50C178" w14:textId="77777777" w:rsidR="006665C5" w:rsidRPr="006665C5" w:rsidRDefault="006665C5" w:rsidP="006665C5">
      <w:pPr>
        <w:numPr>
          <w:ilvl w:val="0"/>
          <w:numId w:val="11"/>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14:ligatures w14:val="none"/>
        </w:rPr>
        <w:t>New Mexico: 160 cases per 1,000 residents</w:t>
      </w:r>
    </w:p>
    <w:p w14:paraId="3E1AE7A5" w14:textId="77777777" w:rsidR="006665C5" w:rsidRPr="006665C5" w:rsidRDefault="006665C5" w:rsidP="006665C5">
      <w:pPr>
        <w:numPr>
          <w:ilvl w:val="0"/>
          <w:numId w:val="11"/>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14:ligatures w14:val="none"/>
        </w:rPr>
        <w:t>New Hampshire: 156 cases per 1,000 residents</w:t>
      </w:r>
    </w:p>
    <w:p w14:paraId="2935709F" w14:textId="77777777" w:rsidR="006665C5" w:rsidRPr="006665C5" w:rsidRDefault="006665C5" w:rsidP="006665C5">
      <w:pPr>
        <w:numPr>
          <w:ilvl w:val="0"/>
          <w:numId w:val="11"/>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14:ligatures w14:val="none"/>
        </w:rPr>
        <w:t>District of Columbia: 150 cases per 1,000 residents</w:t>
      </w:r>
    </w:p>
    <w:p w14:paraId="022E48C6" w14:textId="77777777" w:rsidR="006665C5" w:rsidRPr="006665C5" w:rsidRDefault="006665C5" w:rsidP="006665C5">
      <w:pPr>
        <w:numPr>
          <w:ilvl w:val="0"/>
          <w:numId w:val="11"/>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14:ligatures w14:val="none"/>
        </w:rPr>
        <w:t>North Carolina: 142 cases per 1,000 residents</w:t>
      </w:r>
    </w:p>
    <w:p w14:paraId="44AA9292" w14:textId="77777777" w:rsidR="006665C5" w:rsidRDefault="006665C5" w:rsidP="006665C5">
      <w:pPr>
        <w:numPr>
          <w:ilvl w:val="0"/>
          <w:numId w:val="11"/>
        </w:numPr>
        <w:spacing w:after="0" w:line="390" w:lineRule="atLeast"/>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14:ligatures w14:val="none"/>
        </w:rPr>
        <w:t>Michigan: 140 cases per 1,000 residents</w:t>
      </w:r>
    </w:p>
    <w:p w14:paraId="3370E2AE" w14:textId="77777777" w:rsidR="00A44331" w:rsidRPr="006665C5" w:rsidRDefault="00A44331" w:rsidP="00A44331">
      <w:pPr>
        <w:spacing w:after="0" w:line="390" w:lineRule="atLeast"/>
        <w:ind w:left="720"/>
        <w:textAlignment w:val="baseline"/>
        <w:rPr>
          <w:rFonts w:ascii="Montserrat" w:eastAsia="Times New Roman" w:hAnsi="Montserrat" w:cs="Times New Roman"/>
          <w:color w:val="000000"/>
          <w:kern w:val="0"/>
          <w:sz w:val="21"/>
          <w:szCs w:val="21"/>
          <w14:ligatures w14:val="none"/>
        </w:rPr>
      </w:pPr>
    </w:p>
    <w:p w14:paraId="5EC5BF2F" w14:textId="77777777" w:rsidR="006665C5" w:rsidRDefault="006665C5" w:rsidP="006665C5">
      <w:pPr>
        <w:spacing w:after="0" w:line="240" w:lineRule="auto"/>
        <w:textAlignment w:val="baseline"/>
        <w:rPr>
          <w:rFonts w:ascii="Montserrat" w:eastAsia="Times New Roman" w:hAnsi="Montserrat" w:cs="Times New Roman"/>
          <w:color w:val="000000"/>
          <w:kern w:val="0"/>
          <w:sz w:val="21"/>
          <w:szCs w:val="21"/>
          <w:bdr w:val="none" w:sz="0" w:space="0" w:color="auto" w:frame="1"/>
          <w14:ligatures w14:val="none"/>
        </w:rPr>
      </w:pPr>
      <w:r w:rsidRPr="006665C5">
        <w:rPr>
          <w:rFonts w:ascii="Montserrat" w:eastAsia="Times New Roman" w:hAnsi="Montserrat" w:cs="Times New Roman"/>
          <w:color w:val="000000"/>
          <w:kern w:val="0"/>
          <w:sz w:val="21"/>
          <w:szCs w:val="21"/>
          <w:bdr w:val="none" w:sz="0" w:space="0" w:color="auto" w:frame="1"/>
          <w14:ligatures w14:val="none"/>
        </w:rPr>
        <w:t>The per capita data reveal a clear Western preference for tequila, with six of the top ten states located west of the Mississippi River. This pattern suggests that cultural proximity to Mexico, climate preferences, and regional drinking cultures play significant roles in tequila consumption beyond simple population metrics.</w:t>
      </w:r>
    </w:p>
    <w:p w14:paraId="4D6184CA" w14:textId="77777777" w:rsidR="00A44331" w:rsidRPr="006665C5" w:rsidRDefault="00A44331" w:rsidP="006665C5">
      <w:pPr>
        <w:spacing w:after="0" w:line="240" w:lineRule="auto"/>
        <w:textAlignment w:val="baseline"/>
        <w:rPr>
          <w:rFonts w:ascii="Montserrat" w:eastAsia="Times New Roman" w:hAnsi="Montserrat" w:cs="Times New Roman"/>
          <w:color w:val="000000"/>
          <w:kern w:val="0"/>
          <w:sz w:val="21"/>
          <w:szCs w:val="21"/>
          <w14:ligatures w14:val="none"/>
        </w:rPr>
      </w:pPr>
    </w:p>
    <w:p w14:paraId="63445E3D" w14:textId="77777777" w:rsidR="006665C5" w:rsidRPr="006665C5" w:rsidRDefault="006665C5" w:rsidP="006665C5">
      <w:pPr>
        <w:spacing w:after="0" w:line="240" w:lineRule="auto"/>
        <w:textAlignment w:val="baseline"/>
        <w:rPr>
          <w:rFonts w:ascii="Montserrat" w:eastAsia="Times New Roman" w:hAnsi="Montserrat" w:cs="Times New Roman"/>
          <w:color w:val="000000"/>
          <w:kern w:val="0"/>
          <w:sz w:val="21"/>
          <w:szCs w:val="21"/>
          <w14:ligatures w14:val="none"/>
        </w:rPr>
      </w:pPr>
      <w:r w:rsidRPr="006665C5">
        <w:rPr>
          <w:rFonts w:ascii="Montserrat" w:eastAsia="Times New Roman" w:hAnsi="Montserrat" w:cs="Times New Roman"/>
          <w:color w:val="000000"/>
          <w:kern w:val="0"/>
          <w:sz w:val="21"/>
          <w:szCs w:val="21"/>
          <w:bdr w:val="none" w:sz="0" w:space="0" w:color="auto" w:frame="1"/>
          <w14:ligatures w14:val="none"/>
        </w:rPr>
        <w:t>These consumption patterns provide valuable insights for tequila brands considering market expansion strategies. While high-volume states offer scale opportunities, the per capita leaders may represent markets with stronger brand loyalty and growth potential.</w:t>
      </w:r>
    </w:p>
    <w:p w14:paraId="7A3B78D0" w14:textId="77777777" w:rsidR="007E402A" w:rsidRDefault="007E402A"/>
    <w:sectPr w:rsidR="007E4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55AB"/>
    <w:multiLevelType w:val="multilevel"/>
    <w:tmpl w:val="74BCD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E77AA"/>
    <w:multiLevelType w:val="multilevel"/>
    <w:tmpl w:val="151AE0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4801FD"/>
    <w:multiLevelType w:val="multilevel"/>
    <w:tmpl w:val="0A3AA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1E13A2"/>
    <w:multiLevelType w:val="multilevel"/>
    <w:tmpl w:val="DEFC10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5F56F7"/>
    <w:multiLevelType w:val="multilevel"/>
    <w:tmpl w:val="06262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246208"/>
    <w:multiLevelType w:val="multilevel"/>
    <w:tmpl w:val="3CBA2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647A7E"/>
    <w:multiLevelType w:val="multilevel"/>
    <w:tmpl w:val="4C3C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092BCD"/>
    <w:multiLevelType w:val="multilevel"/>
    <w:tmpl w:val="3B5CC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9655C3"/>
    <w:multiLevelType w:val="multilevel"/>
    <w:tmpl w:val="E222BF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63415C"/>
    <w:multiLevelType w:val="multilevel"/>
    <w:tmpl w:val="46662C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D5730F"/>
    <w:multiLevelType w:val="multilevel"/>
    <w:tmpl w:val="A7A886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7780759">
    <w:abstractNumId w:val="6"/>
  </w:num>
  <w:num w:numId="2" w16cid:durableId="470024889">
    <w:abstractNumId w:val="7"/>
  </w:num>
  <w:num w:numId="3" w16cid:durableId="1295018921">
    <w:abstractNumId w:val="4"/>
  </w:num>
  <w:num w:numId="4" w16cid:durableId="1603762088">
    <w:abstractNumId w:val="10"/>
  </w:num>
  <w:num w:numId="5" w16cid:durableId="357850405">
    <w:abstractNumId w:val="5"/>
  </w:num>
  <w:num w:numId="6" w16cid:durableId="158741751">
    <w:abstractNumId w:val="3"/>
  </w:num>
  <w:num w:numId="7" w16cid:durableId="929579683">
    <w:abstractNumId w:val="1"/>
  </w:num>
  <w:num w:numId="8" w16cid:durableId="1459949934">
    <w:abstractNumId w:val="2"/>
  </w:num>
  <w:num w:numId="9" w16cid:durableId="1961911138">
    <w:abstractNumId w:val="8"/>
  </w:num>
  <w:num w:numId="10" w16cid:durableId="2000425214">
    <w:abstractNumId w:val="9"/>
  </w:num>
  <w:num w:numId="11" w16cid:durableId="129807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C5"/>
    <w:rsid w:val="006665C5"/>
    <w:rsid w:val="007E402A"/>
    <w:rsid w:val="00A44331"/>
    <w:rsid w:val="00AB2B14"/>
    <w:rsid w:val="00D8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B9A2"/>
  <w15:chartTrackingRefBased/>
  <w15:docId w15:val="{23592150-48D9-4D7C-9909-FF1FD78B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5C5"/>
    <w:rPr>
      <w:rFonts w:eastAsiaTheme="majorEastAsia" w:cstheme="majorBidi"/>
      <w:color w:val="272727" w:themeColor="text1" w:themeTint="D8"/>
    </w:rPr>
  </w:style>
  <w:style w:type="paragraph" w:styleId="Title">
    <w:name w:val="Title"/>
    <w:basedOn w:val="Normal"/>
    <w:next w:val="Normal"/>
    <w:link w:val="TitleChar"/>
    <w:uiPriority w:val="10"/>
    <w:qFormat/>
    <w:rsid w:val="00666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5C5"/>
    <w:pPr>
      <w:spacing w:before="160"/>
      <w:jc w:val="center"/>
    </w:pPr>
    <w:rPr>
      <w:i/>
      <w:iCs/>
      <w:color w:val="404040" w:themeColor="text1" w:themeTint="BF"/>
    </w:rPr>
  </w:style>
  <w:style w:type="character" w:customStyle="1" w:styleId="QuoteChar">
    <w:name w:val="Quote Char"/>
    <w:basedOn w:val="DefaultParagraphFont"/>
    <w:link w:val="Quote"/>
    <w:uiPriority w:val="29"/>
    <w:rsid w:val="006665C5"/>
    <w:rPr>
      <w:i/>
      <w:iCs/>
      <w:color w:val="404040" w:themeColor="text1" w:themeTint="BF"/>
    </w:rPr>
  </w:style>
  <w:style w:type="paragraph" w:styleId="ListParagraph">
    <w:name w:val="List Paragraph"/>
    <w:basedOn w:val="Normal"/>
    <w:uiPriority w:val="34"/>
    <w:qFormat/>
    <w:rsid w:val="006665C5"/>
    <w:pPr>
      <w:ind w:left="720"/>
      <w:contextualSpacing/>
    </w:pPr>
  </w:style>
  <w:style w:type="character" w:styleId="IntenseEmphasis">
    <w:name w:val="Intense Emphasis"/>
    <w:basedOn w:val="DefaultParagraphFont"/>
    <w:uiPriority w:val="21"/>
    <w:qFormat/>
    <w:rsid w:val="006665C5"/>
    <w:rPr>
      <w:i/>
      <w:iCs/>
      <w:color w:val="0F4761" w:themeColor="accent1" w:themeShade="BF"/>
    </w:rPr>
  </w:style>
  <w:style w:type="paragraph" w:styleId="IntenseQuote">
    <w:name w:val="Intense Quote"/>
    <w:basedOn w:val="Normal"/>
    <w:next w:val="Normal"/>
    <w:link w:val="IntenseQuoteChar"/>
    <w:uiPriority w:val="30"/>
    <w:qFormat/>
    <w:rsid w:val="00666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5C5"/>
    <w:rPr>
      <w:i/>
      <w:iCs/>
      <w:color w:val="0F4761" w:themeColor="accent1" w:themeShade="BF"/>
    </w:rPr>
  </w:style>
  <w:style w:type="character" w:styleId="IntenseReference">
    <w:name w:val="Intense Reference"/>
    <w:basedOn w:val="DefaultParagraphFont"/>
    <w:uiPriority w:val="32"/>
    <w:qFormat/>
    <w:rsid w:val="006665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kstreet.com/category/park-street-university/" TargetMode="External"/><Relationship Id="rId3" Type="http://schemas.openxmlformats.org/officeDocument/2006/relationships/settings" Target="settings.xml"/><Relationship Id="rId7" Type="http://schemas.openxmlformats.org/officeDocument/2006/relationships/hyperlink" Target="https://www.parkstreet.com/category/featur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kstreet.com/category/blog-post/" TargetMode="External"/><Relationship Id="rId11" Type="http://schemas.openxmlformats.org/officeDocument/2006/relationships/theme" Target="theme/theme1.xml"/><Relationship Id="rId5" Type="http://schemas.openxmlformats.org/officeDocument/2006/relationships/hyperlink" Target="https://www.parkstreet.com/tag/news-trend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rkstreet.com/category/popular-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Llaneza</dc:creator>
  <cp:keywords/>
  <dc:description/>
  <cp:lastModifiedBy>Ignacio Llaneza</cp:lastModifiedBy>
  <cp:revision>2</cp:revision>
  <dcterms:created xsi:type="dcterms:W3CDTF">2025-09-24T15:42:00Z</dcterms:created>
  <dcterms:modified xsi:type="dcterms:W3CDTF">2025-09-24T15:43:00Z</dcterms:modified>
</cp:coreProperties>
</file>